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6AD28B" w14:textId="58C18EBE" w:rsidR="00B725B8" w:rsidRDefault="001E5462" w:rsidP="005F480E">
      <w:pPr>
        <w:jc w:val="center"/>
      </w:pPr>
      <w:r>
        <w:rPr>
          <w:noProof/>
        </w:rPr>
        <w:drawing>
          <wp:anchor distT="0" distB="0" distL="114300" distR="114300" simplePos="0" relativeHeight="251659264" behindDoc="0" locked="0" layoutInCell="1" allowOverlap="1" wp14:anchorId="281C3C85" wp14:editId="6CC5F819">
            <wp:simplePos x="0" y="0"/>
            <wp:positionH relativeFrom="column">
              <wp:posOffset>-933450</wp:posOffset>
            </wp:positionH>
            <wp:positionV relativeFrom="paragraph">
              <wp:posOffset>-988060</wp:posOffset>
            </wp:positionV>
            <wp:extent cx="7560000" cy="1054800"/>
            <wp:effectExtent l="0" t="0" r="3175" b="0"/>
            <wp:wrapNone/>
            <wp:docPr id="2" name="Picture 2" descr="A brown and white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rown and white lin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1054800"/>
                    </a:xfrm>
                    <a:prstGeom prst="rect">
                      <a:avLst/>
                    </a:prstGeom>
                  </pic:spPr>
                </pic:pic>
              </a:graphicData>
            </a:graphic>
          </wp:anchor>
        </w:drawing>
      </w:r>
      <w:r w:rsidR="0054741B">
        <w:rPr>
          <w:noProof/>
        </w:rPr>
        <w:drawing>
          <wp:inline distT="0" distB="0" distL="0" distR="0" wp14:anchorId="16DA4F46" wp14:editId="501FDEF6">
            <wp:extent cx="1865014" cy="1434236"/>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3949" cy="1464177"/>
                    </a:xfrm>
                    <a:prstGeom prst="rect">
                      <a:avLst/>
                    </a:prstGeom>
                  </pic:spPr>
                </pic:pic>
              </a:graphicData>
            </a:graphic>
          </wp:inline>
        </w:drawing>
      </w:r>
    </w:p>
    <w:p w14:paraId="2339C396" w14:textId="6BE4BF4E" w:rsidR="00125CB2" w:rsidRDefault="00125CB2" w:rsidP="00942DE9">
      <w:pPr>
        <w:ind w:left="-426" w:right="-619"/>
        <w:jc w:val="both"/>
        <w:rPr>
          <w:sz w:val="22"/>
          <w:szCs w:val="22"/>
        </w:rPr>
      </w:pPr>
      <w:r>
        <w:rPr>
          <w:sz w:val="22"/>
          <w:szCs w:val="22"/>
        </w:rPr>
        <w:t>29 March 2024</w:t>
      </w:r>
    </w:p>
    <w:p w14:paraId="445613BA" w14:textId="77777777" w:rsidR="00125CB2" w:rsidRDefault="00125CB2" w:rsidP="00942DE9">
      <w:pPr>
        <w:ind w:left="-426" w:right="-619"/>
        <w:rPr>
          <w:sz w:val="22"/>
          <w:szCs w:val="22"/>
        </w:rPr>
      </w:pPr>
    </w:p>
    <w:p w14:paraId="6BECCCFF" w14:textId="77777777" w:rsidR="00942DE9" w:rsidRDefault="00942DE9" w:rsidP="00942DE9">
      <w:pPr>
        <w:ind w:left="-426" w:right="-619"/>
        <w:rPr>
          <w:sz w:val="22"/>
          <w:szCs w:val="22"/>
        </w:rPr>
      </w:pPr>
    </w:p>
    <w:p w14:paraId="353FAAC0" w14:textId="77777777" w:rsidR="00125CB2" w:rsidRPr="00DC702D" w:rsidRDefault="00125CB2" w:rsidP="00942DE9">
      <w:pPr>
        <w:ind w:left="-426" w:right="-619"/>
        <w:rPr>
          <w:sz w:val="22"/>
          <w:szCs w:val="22"/>
        </w:rPr>
      </w:pPr>
      <w:r w:rsidRPr="00DC702D">
        <w:rPr>
          <w:sz w:val="22"/>
          <w:szCs w:val="22"/>
        </w:rPr>
        <w:t>Dear Valais Blacknose Society Members,</w:t>
      </w:r>
    </w:p>
    <w:p w14:paraId="66865BF8" w14:textId="77777777" w:rsidR="00125CB2" w:rsidRPr="00DC702D" w:rsidRDefault="00125CB2" w:rsidP="00942DE9">
      <w:pPr>
        <w:ind w:left="-426" w:right="-619"/>
        <w:rPr>
          <w:sz w:val="22"/>
          <w:szCs w:val="22"/>
        </w:rPr>
      </w:pPr>
    </w:p>
    <w:p w14:paraId="4B83193A" w14:textId="77777777" w:rsidR="00125CB2" w:rsidRDefault="00125CB2" w:rsidP="00942DE9">
      <w:pPr>
        <w:ind w:left="-426" w:right="-619"/>
        <w:rPr>
          <w:sz w:val="22"/>
          <w:szCs w:val="22"/>
        </w:rPr>
      </w:pPr>
      <w:r w:rsidRPr="00DC702D">
        <w:rPr>
          <w:sz w:val="22"/>
          <w:szCs w:val="22"/>
        </w:rPr>
        <w:t xml:space="preserve">It has been brought to the attention </w:t>
      </w:r>
      <w:r>
        <w:rPr>
          <w:sz w:val="22"/>
          <w:szCs w:val="22"/>
        </w:rPr>
        <w:t xml:space="preserve">of the Society </w:t>
      </w:r>
      <w:r w:rsidRPr="00DC702D">
        <w:rPr>
          <w:sz w:val="22"/>
          <w:szCs w:val="22"/>
        </w:rPr>
        <w:t xml:space="preserve">by the UK ministerial department for Environment, Food and Rural Affairs (DEFRA) that by </w:t>
      </w:r>
      <w:r>
        <w:rPr>
          <w:sz w:val="22"/>
          <w:szCs w:val="22"/>
        </w:rPr>
        <w:t xml:space="preserve">enforcing the recent motion to </w:t>
      </w:r>
      <w:r w:rsidRPr="00DC702D">
        <w:rPr>
          <w:sz w:val="22"/>
          <w:szCs w:val="22"/>
        </w:rPr>
        <w:t>restrict</w:t>
      </w:r>
      <w:r>
        <w:rPr>
          <w:sz w:val="22"/>
          <w:szCs w:val="22"/>
        </w:rPr>
        <w:t xml:space="preserve"> </w:t>
      </w:r>
      <w:r w:rsidRPr="00DC702D">
        <w:rPr>
          <w:sz w:val="22"/>
          <w:szCs w:val="22"/>
        </w:rPr>
        <w:t>the registration of lambs produced by embryo transfer (ET)</w:t>
      </w:r>
      <w:r>
        <w:rPr>
          <w:sz w:val="22"/>
          <w:szCs w:val="22"/>
        </w:rPr>
        <w:t>, the Society</w:t>
      </w:r>
      <w:r w:rsidRPr="00DC702D">
        <w:rPr>
          <w:sz w:val="22"/>
          <w:szCs w:val="22"/>
        </w:rPr>
        <w:t xml:space="preserve"> </w:t>
      </w:r>
      <w:r>
        <w:rPr>
          <w:sz w:val="22"/>
          <w:szCs w:val="22"/>
        </w:rPr>
        <w:t>is</w:t>
      </w:r>
      <w:r w:rsidRPr="00DC702D">
        <w:rPr>
          <w:sz w:val="22"/>
          <w:szCs w:val="22"/>
        </w:rPr>
        <w:t xml:space="preserve"> in clear and undeniable breach of the EU Zoo-technological standards</w:t>
      </w:r>
      <w:r>
        <w:rPr>
          <w:sz w:val="22"/>
          <w:szCs w:val="22"/>
        </w:rPr>
        <w:t xml:space="preserve"> and regulations</w:t>
      </w:r>
      <w:r w:rsidRPr="00DC702D">
        <w:rPr>
          <w:sz w:val="22"/>
          <w:szCs w:val="22"/>
        </w:rPr>
        <w:t>.</w:t>
      </w:r>
    </w:p>
    <w:p w14:paraId="7F6BA1A1" w14:textId="77777777" w:rsidR="00125CB2" w:rsidRPr="007F7DD8" w:rsidRDefault="00125CB2" w:rsidP="00942DE9">
      <w:pPr>
        <w:ind w:left="-426" w:right="-619"/>
        <w:rPr>
          <w:sz w:val="20"/>
          <w:szCs w:val="20"/>
        </w:rPr>
      </w:pPr>
    </w:p>
    <w:p w14:paraId="5F249C57" w14:textId="77777777" w:rsidR="00125CB2" w:rsidRPr="00DC702D" w:rsidRDefault="00125CB2" w:rsidP="00942DE9">
      <w:pPr>
        <w:ind w:left="-426" w:right="-619"/>
        <w:rPr>
          <w:sz w:val="22"/>
          <w:szCs w:val="22"/>
        </w:rPr>
      </w:pPr>
      <w:r>
        <w:rPr>
          <w:sz w:val="22"/>
          <w:szCs w:val="22"/>
        </w:rPr>
        <w:t xml:space="preserve">In order to meet DEFRA derived regulations and retain zootechnical status, the Society must demonstrate that it works </w:t>
      </w:r>
      <w:r w:rsidRPr="00DC702D">
        <w:rPr>
          <w:sz w:val="22"/>
          <w:szCs w:val="22"/>
        </w:rPr>
        <w:t xml:space="preserve">to advance, promote, preserve, and improve the </w:t>
      </w:r>
      <w:r>
        <w:rPr>
          <w:sz w:val="22"/>
          <w:szCs w:val="22"/>
        </w:rPr>
        <w:t>VBN</w:t>
      </w:r>
      <w:r w:rsidRPr="00DC702D">
        <w:rPr>
          <w:sz w:val="22"/>
          <w:szCs w:val="22"/>
        </w:rPr>
        <w:t xml:space="preserve"> whilst adhering to </w:t>
      </w:r>
      <w:r>
        <w:rPr>
          <w:sz w:val="22"/>
          <w:szCs w:val="22"/>
        </w:rPr>
        <w:t>animal</w:t>
      </w:r>
      <w:r w:rsidRPr="00DC702D">
        <w:rPr>
          <w:sz w:val="22"/>
          <w:szCs w:val="22"/>
        </w:rPr>
        <w:t xml:space="preserve"> health and welfare in </w:t>
      </w:r>
      <w:r>
        <w:rPr>
          <w:sz w:val="22"/>
          <w:szCs w:val="22"/>
        </w:rPr>
        <w:t>guidelines</w:t>
      </w:r>
      <w:r w:rsidRPr="00DC702D">
        <w:rPr>
          <w:sz w:val="22"/>
          <w:szCs w:val="22"/>
        </w:rPr>
        <w:t>.</w:t>
      </w:r>
    </w:p>
    <w:p w14:paraId="1A8EA361" w14:textId="77777777" w:rsidR="00125CB2" w:rsidRPr="007F7DD8" w:rsidRDefault="00125CB2" w:rsidP="00942DE9">
      <w:pPr>
        <w:ind w:left="-426" w:right="-619"/>
        <w:rPr>
          <w:b/>
          <w:bCs/>
          <w:sz w:val="20"/>
          <w:szCs w:val="20"/>
        </w:rPr>
      </w:pPr>
    </w:p>
    <w:p w14:paraId="6D1E77AF" w14:textId="77777777" w:rsidR="00125CB2" w:rsidRDefault="00125CB2" w:rsidP="00942DE9">
      <w:pPr>
        <w:ind w:left="-426" w:right="-619"/>
        <w:rPr>
          <w:sz w:val="22"/>
          <w:szCs w:val="22"/>
          <w:u w:val="single"/>
        </w:rPr>
      </w:pPr>
      <w:r>
        <w:rPr>
          <w:sz w:val="22"/>
          <w:szCs w:val="22"/>
        </w:rPr>
        <w:t>The</w:t>
      </w:r>
      <w:r w:rsidRPr="00097DA1">
        <w:rPr>
          <w:color w:val="000000" w:themeColor="text1"/>
          <w:sz w:val="22"/>
          <w:szCs w:val="22"/>
        </w:rPr>
        <w:t xml:space="preserve"> Society </w:t>
      </w:r>
      <w:r>
        <w:rPr>
          <w:sz w:val="22"/>
          <w:szCs w:val="22"/>
        </w:rPr>
        <w:t>is</w:t>
      </w:r>
      <w:r w:rsidRPr="00DC702D">
        <w:rPr>
          <w:sz w:val="22"/>
          <w:szCs w:val="22"/>
        </w:rPr>
        <w:t xml:space="preserve"> therefore writing to communicate that after </w:t>
      </w:r>
      <w:r>
        <w:rPr>
          <w:sz w:val="22"/>
          <w:szCs w:val="22"/>
        </w:rPr>
        <w:t>discussion and consultation with DEFRA and considerable</w:t>
      </w:r>
      <w:r w:rsidRPr="00DC702D">
        <w:rPr>
          <w:sz w:val="22"/>
          <w:szCs w:val="22"/>
        </w:rPr>
        <w:t xml:space="preserve"> consideration of official DEFRA</w:t>
      </w:r>
      <w:r>
        <w:rPr>
          <w:sz w:val="22"/>
          <w:szCs w:val="22"/>
        </w:rPr>
        <w:t xml:space="preserve"> requirements</w:t>
      </w:r>
      <w:r w:rsidRPr="00DC702D">
        <w:rPr>
          <w:sz w:val="22"/>
          <w:szCs w:val="22"/>
        </w:rPr>
        <w:t xml:space="preserve">, </w:t>
      </w:r>
      <w:r>
        <w:rPr>
          <w:sz w:val="22"/>
          <w:szCs w:val="22"/>
        </w:rPr>
        <w:t>accompanied by seeking</w:t>
      </w:r>
      <w:r w:rsidRPr="00DC702D">
        <w:rPr>
          <w:sz w:val="22"/>
          <w:szCs w:val="22"/>
        </w:rPr>
        <w:t xml:space="preserve"> legal advice, the </w:t>
      </w:r>
      <w:r>
        <w:rPr>
          <w:sz w:val="22"/>
          <w:szCs w:val="22"/>
        </w:rPr>
        <w:t xml:space="preserve">motion to prohibit the </w:t>
      </w:r>
      <w:r w:rsidRPr="00DC702D">
        <w:rPr>
          <w:sz w:val="22"/>
          <w:szCs w:val="22"/>
        </w:rPr>
        <w:t xml:space="preserve">registration of ET lambs </w:t>
      </w:r>
      <w:r>
        <w:rPr>
          <w:sz w:val="22"/>
          <w:szCs w:val="22"/>
        </w:rPr>
        <w:t>(</w:t>
      </w:r>
      <w:r w:rsidRPr="00DC702D">
        <w:rPr>
          <w:sz w:val="22"/>
          <w:szCs w:val="22"/>
        </w:rPr>
        <w:t>due to be implemented on April 30</w:t>
      </w:r>
      <w:r w:rsidRPr="00DC702D">
        <w:rPr>
          <w:sz w:val="22"/>
          <w:szCs w:val="22"/>
          <w:vertAlign w:val="superscript"/>
        </w:rPr>
        <w:t>th</w:t>
      </w:r>
      <w:r w:rsidRPr="00DC702D">
        <w:rPr>
          <w:sz w:val="22"/>
          <w:szCs w:val="22"/>
        </w:rPr>
        <w:t xml:space="preserve"> 2024</w:t>
      </w:r>
      <w:r>
        <w:rPr>
          <w:sz w:val="22"/>
          <w:szCs w:val="22"/>
        </w:rPr>
        <w:t>)</w:t>
      </w:r>
      <w:r w:rsidRPr="00DC702D">
        <w:rPr>
          <w:sz w:val="22"/>
          <w:szCs w:val="22"/>
        </w:rPr>
        <w:t xml:space="preserve"> will </w:t>
      </w:r>
      <w:r w:rsidRPr="00DC702D">
        <w:rPr>
          <w:sz w:val="22"/>
          <w:szCs w:val="22"/>
          <w:u w:val="single"/>
        </w:rPr>
        <w:t xml:space="preserve">no longer stand. </w:t>
      </w:r>
    </w:p>
    <w:p w14:paraId="44E25E4C" w14:textId="77777777" w:rsidR="00125CB2" w:rsidRPr="007F7DD8" w:rsidRDefault="00125CB2" w:rsidP="00942DE9">
      <w:pPr>
        <w:ind w:left="-426" w:right="-619"/>
        <w:rPr>
          <w:sz w:val="20"/>
          <w:szCs w:val="20"/>
          <w:u w:val="single"/>
        </w:rPr>
      </w:pPr>
    </w:p>
    <w:p w14:paraId="3B486ED7" w14:textId="77777777" w:rsidR="00125CB2" w:rsidRDefault="00125CB2" w:rsidP="00942DE9">
      <w:pPr>
        <w:ind w:left="-426" w:right="-619"/>
        <w:rPr>
          <w:sz w:val="22"/>
          <w:szCs w:val="22"/>
        </w:rPr>
      </w:pPr>
      <w:r w:rsidRPr="000E53CB">
        <w:rPr>
          <w:color w:val="000000" w:themeColor="text1"/>
          <w:sz w:val="22"/>
          <w:szCs w:val="22"/>
        </w:rPr>
        <w:t>The Society is aware tha</w:t>
      </w:r>
      <w:r>
        <w:rPr>
          <w:color w:val="000000" w:themeColor="text1"/>
          <w:sz w:val="22"/>
          <w:szCs w:val="22"/>
        </w:rPr>
        <w:t>t</w:t>
      </w:r>
      <w:r w:rsidRPr="000E53CB">
        <w:rPr>
          <w:color w:val="000000" w:themeColor="text1"/>
          <w:sz w:val="22"/>
          <w:szCs w:val="22"/>
        </w:rPr>
        <w:t xml:space="preserve"> this </w:t>
      </w:r>
      <w:r w:rsidRPr="00DC702D">
        <w:rPr>
          <w:sz w:val="22"/>
          <w:szCs w:val="22"/>
        </w:rPr>
        <w:t xml:space="preserve">will disappoint </w:t>
      </w:r>
      <w:r>
        <w:rPr>
          <w:sz w:val="22"/>
          <w:szCs w:val="22"/>
        </w:rPr>
        <w:t>some of its members</w:t>
      </w:r>
      <w:r w:rsidRPr="00DC702D">
        <w:rPr>
          <w:sz w:val="22"/>
          <w:szCs w:val="22"/>
        </w:rPr>
        <w:t xml:space="preserve">, but </w:t>
      </w:r>
      <w:r w:rsidRPr="00561C56">
        <w:rPr>
          <w:color w:val="000000" w:themeColor="text1"/>
          <w:sz w:val="22"/>
          <w:szCs w:val="22"/>
        </w:rPr>
        <w:t xml:space="preserve">the decision is </w:t>
      </w:r>
      <w:r w:rsidRPr="00DC702D">
        <w:rPr>
          <w:sz w:val="22"/>
          <w:szCs w:val="22"/>
        </w:rPr>
        <w:t xml:space="preserve">based upon </w:t>
      </w:r>
      <w:r>
        <w:rPr>
          <w:sz w:val="22"/>
          <w:szCs w:val="22"/>
        </w:rPr>
        <w:t xml:space="preserve">hierarchical regulations, which the Society must adhere to in order to retain its important </w:t>
      </w:r>
      <w:proofErr w:type="spellStart"/>
      <w:r>
        <w:rPr>
          <w:sz w:val="22"/>
          <w:szCs w:val="22"/>
        </w:rPr>
        <w:t>Zootech</w:t>
      </w:r>
      <w:proofErr w:type="spellEnd"/>
      <w:r>
        <w:rPr>
          <w:sz w:val="22"/>
          <w:szCs w:val="22"/>
        </w:rPr>
        <w:t xml:space="preserve"> status. Please see supporting documentation in Appendix 1 below.</w:t>
      </w:r>
    </w:p>
    <w:p w14:paraId="64D0F0CA" w14:textId="77777777" w:rsidR="00125CB2" w:rsidRDefault="00125CB2" w:rsidP="00942DE9">
      <w:pPr>
        <w:ind w:left="-426" w:right="-619"/>
        <w:rPr>
          <w:sz w:val="22"/>
          <w:szCs w:val="22"/>
        </w:rPr>
      </w:pPr>
    </w:p>
    <w:p w14:paraId="3EB2688C" w14:textId="77777777" w:rsidR="00125CB2" w:rsidRDefault="00125CB2" w:rsidP="00942DE9">
      <w:pPr>
        <w:ind w:left="-426" w:right="-619"/>
        <w:rPr>
          <w:b/>
          <w:bCs/>
          <w:sz w:val="22"/>
          <w:szCs w:val="22"/>
        </w:rPr>
      </w:pPr>
      <w:r>
        <w:rPr>
          <w:b/>
          <w:bCs/>
          <w:sz w:val="22"/>
          <w:szCs w:val="22"/>
        </w:rPr>
        <w:t>Upcoming changes which result following this decision:</w:t>
      </w:r>
    </w:p>
    <w:p w14:paraId="5D61A3AA" w14:textId="77777777" w:rsidR="00125CB2" w:rsidRPr="00942DE9" w:rsidRDefault="00125CB2" w:rsidP="00942DE9">
      <w:pPr>
        <w:ind w:left="-426" w:right="-619"/>
        <w:rPr>
          <w:b/>
          <w:bCs/>
          <w:sz w:val="8"/>
          <w:szCs w:val="8"/>
        </w:rPr>
      </w:pPr>
    </w:p>
    <w:p w14:paraId="05D0A4AD" w14:textId="77777777" w:rsidR="00125CB2" w:rsidRPr="00483BE0" w:rsidRDefault="00125CB2" w:rsidP="00942DE9">
      <w:pPr>
        <w:pStyle w:val="ListParagraph"/>
        <w:numPr>
          <w:ilvl w:val="0"/>
          <w:numId w:val="2"/>
        </w:numPr>
        <w:ind w:left="-426" w:right="-619"/>
        <w:rPr>
          <w:rFonts w:asciiTheme="minorHAnsi" w:hAnsiTheme="minorHAnsi" w:cstheme="minorHAnsi"/>
          <w:b/>
          <w:bCs/>
          <w:sz w:val="22"/>
          <w:szCs w:val="22"/>
        </w:rPr>
      </w:pPr>
      <w:r>
        <w:rPr>
          <w:rFonts w:asciiTheme="minorHAnsi" w:hAnsiTheme="minorHAnsi" w:cstheme="minorHAnsi"/>
          <w:sz w:val="22"/>
          <w:szCs w:val="22"/>
          <w:u w:val="single"/>
        </w:rPr>
        <w:t>A</w:t>
      </w:r>
      <w:r w:rsidRPr="00483BE0">
        <w:rPr>
          <w:rFonts w:asciiTheme="minorHAnsi" w:hAnsiTheme="minorHAnsi" w:cstheme="minorHAnsi"/>
          <w:sz w:val="22"/>
          <w:szCs w:val="22"/>
          <w:u w:val="single"/>
        </w:rPr>
        <w:t>ll</w:t>
      </w:r>
      <w:r w:rsidRPr="00483BE0">
        <w:rPr>
          <w:rFonts w:asciiTheme="minorHAnsi" w:hAnsiTheme="minorHAnsi" w:cstheme="minorHAnsi"/>
          <w:sz w:val="22"/>
          <w:szCs w:val="22"/>
        </w:rPr>
        <w:t xml:space="preserve"> registered lambs from January 1</w:t>
      </w:r>
      <w:r w:rsidRPr="00483BE0">
        <w:rPr>
          <w:rFonts w:asciiTheme="minorHAnsi" w:hAnsiTheme="minorHAnsi" w:cstheme="minorHAnsi"/>
          <w:sz w:val="22"/>
          <w:szCs w:val="22"/>
          <w:vertAlign w:val="superscript"/>
        </w:rPr>
        <w:t>st</w:t>
      </w:r>
      <w:r w:rsidRPr="00483BE0">
        <w:rPr>
          <w:rFonts w:asciiTheme="minorHAnsi" w:hAnsiTheme="minorHAnsi" w:cstheme="minorHAnsi"/>
          <w:sz w:val="22"/>
          <w:szCs w:val="22"/>
        </w:rPr>
        <w:t xml:space="preserve"> 2024 </w:t>
      </w:r>
      <w:r>
        <w:rPr>
          <w:rFonts w:asciiTheme="minorHAnsi" w:hAnsiTheme="minorHAnsi" w:cstheme="minorHAnsi"/>
          <w:sz w:val="22"/>
          <w:szCs w:val="22"/>
        </w:rPr>
        <w:t xml:space="preserve">will still require </w:t>
      </w:r>
      <w:r w:rsidRPr="00483BE0">
        <w:rPr>
          <w:rFonts w:asciiTheme="minorHAnsi" w:hAnsiTheme="minorHAnsi" w:cstheme="minorHAnsi"/>
          <w:sz w:val="22"/>
          <w:szCs w:val="22"/>
        </w:rPr>
        <w:t>to be DNA parentage verified.</w:t>
      </w:r>
    </w:p>
    <w:p w14:paraId="304A3440" w14:textId="77777777" w:rsidR="00125CB2" w:rsidRPr="00483BE0" w:rsidRDefault="00125CB2" w:rsidP="00942DE9">
      <w:pPr>
        <w:pStyle w:val="ListParagraph"/>
        <w:numPr>
          <w:ilvl w:val="0"/>
          <w:numId w:val="2"/>
        </w:numPr>
        <w:ind w:left="-426" w:right="-619"/>
        <w:rPr>
          <w:rFonts w:asciiTheme="minorHAnsi" w:hAnsiTheme="minorHAnsi" w:cstheme="minorHAnsi"/>
          <w:b/>
          <w:bCs/>
          <w:sz w:val="22"/>
          <w:szCs w:val="22"/>
        </w:rPr>
      </w:pPr>
      <w:r>
        <w:rPr>
          <w:sz w:val="22"/>
          <w:szCs w:val="22"/>
        </w:rPr>
        <w:t>There will be an increase in</w:t>
      </w:r>
      <w:r w:rsidRPr="00DC702D">
        <w:rPr>
          <w:sz w:val="22"/>
          <w:szCs w:val="22"/>
        </w:rPr>
        <w:t xml:space="preserve"> registration fee for ET lambs </w:t>
      </w:r>
      <w:r>
        <w:rPr>
          <w:sz w:val="22"/>
          <w:szCs w:val="22"/>
        </w:rPr>
        <w:t>in the hope that this will discourage any inappropriate use of the technology*.</w:t>
      </w:r>
    </w:p>
    <w:p w14:paraId="29C345F5" w14:textId="77777777" w:rsidR="00125CB2" w:rsidRPr="000E53CB" w:rsidRDefault="00125CB2" w:rsidP="00942DE9">
      <w:pPr>
        <w:pStyle w:val="ListParagraph"/>
        <w:numPr>
          <w:ilvl w:val="0"/>
          <w:numId w:val="2"/>
        </w:numPr>
        <w:ind w:left="-426" w:right="-619"/>
        <w:rPr>
          <w:rFonts w:asciiTheme="minorHAnsi" w:hAnsiTheme="minorHAnsi" w:cstheme="minorHAnsi"/>
          <w:b/>
          <w:bCs/>
          <w:sz w:val="22"/>
          <w:szCs w:val="22"/>
        </w:rPr>
      </w:pPr>
      <w:r>
        <w:rPr>
          <w:sz w:val="22"/>
          <w:szCs w:val="22"/>
        </w:rPr>
        <w:t>M</w:t>
      </w:r>
      <w:r w:rsidRPr="00483BE0">
        <w:rPr>
          <w:sz w:val="22"/>
          <w:szCs w:val="22"/>
        </w:rPr>
        <w:t xml:space="preserve">embers wishing to use the technology for conservation reasons </w:t>
      </w:r>
      <w:r>
        <w:rPr>
          <w:sz w:val="22"/>
          <w:szCs w:val="22"/>
        </w:rPr>
        <w:t xml:space="preserve">are invited to apply to the VBN Council for </w:t>
      </w:r>
      <w:r w:rsidRPr="00483BE0">
        <w:rPr>
          <w:sz w:val="22"/>
          <w:szCs w:val="22"/>
        </w:rPr>
        <w:t>consideration to waive</w:t>
      </w:r>
      <w:r>
        <w:rPr>
          <w:sz w:val="22"/>
          <w:szCs w:val="22"/>
        </w:rPr>
        <w:t>r</w:t>
      </w:r>
      <w:r w:rsidRPr="00483BE0">
        <w:rPr>
          <w:sz w:val="22"/>
          <w:szCs w:val="22"/>
        </w:rPr>
        <w:t xml:space="preserve"> the increased registration fee.</w:t>
      </w:r>
    </w:p>
    <w:p w14:paraId="435F7F27" w14:textId="77777777" w:rsidR="00125CB2" w:rsidRPr="000E53CB" w:rsidRDefault="00125CB2" w:rsidP="00942DE9">
      <w:pPr>
        <w:pStyle w:val="ListParagraph"/>
        <w:numPr>
          <w:ilvl w:val="0"/>
          <w:numId w:val="2"/>
        </w:numPr>
        <w:ind w:left="-426" w:right="-619"/>
        <w:rPr>
          <w:rFonts w:asciiTheme="minorHAnsi" w:hAnsiTheme="minorHAnsi" w:cstheme="minorHAnsi"/>
          <w:b/>
          <w:bCs/>
          <w:sz w:val="22"/>
          <w:szCs w:val="22"/>
        </w:rPr>
      </w:pPr>
      <w:r>
        <w:rPr>
          <w:sz w:val="22"/>
          <w:szCs w:val="22"/>
        </w:rPr>
        <w:t>Publication of ET use guidelines</w:t>
      </w:r>
    </w:p>
    <w:p w14:paraId="419DC905" w14:textId="77777777" w:rsidR="00125CB2" w:rsidRPr="000E53CB" w:rsidRDefault="00125CB2" w:rsidP="00942DE9">
      <w:pPr>
        <w:pStyle w:val="ListParagraph"/>
        <w:ind w:left="-426" w:right="-619"/>
        <w:rPr>
          <w:rFonts w:asciiTheme="minorHAnsi" w:hAnsiTheme="minorHAnsi" w:cstheme="minorHAnsi"/>
          <w:b/>
          <w:bCs/>
          <w:sz w:val="22"/>
          <w:szCs w:val="22"/>
        </w:rPr>
      </w:pPr>
    </w:p>
    <w:p w14:paraId="5D359417" w14:textId="77777777" w:rsidR="00125CB2" w:rsidRPr="000E53CB" w:rsidRDefault="00125CB2" w:rsidP="00942DE9">
      <w:pPr>
        <w:ind w:left="-426" w:right="-619"/>
        <w:rPr>
          <w:rFonts w:cstheme="minorHAnsi"/>
          <w:sz w:val="22"/>
          <w:szCs w:val="22"/>
        </w:rPr>
      </w:pPr>
      <w:r w:rsidRPr="000E53CB">
        <w:rPr>
          <w:rFonts w:cstheme="minorHAnsi"/>
          <w:sz w:val="22"/>
          <w:szCs w:val="22"/>
        </w:rPr>
        <w:t>*Members will be notified, and notice given in writing in line with correct timescales</w:t>
      </w:r>
    </w:p>
    <w:p w14:paraId="6B7F16F0" w14:textId="77777777" w:rsidR="00125CB2" w:rsidRPr="00DC702D" w:rsidRDefault="00125CB2" w:rsidP="00942DE9">
      <w:pPr>
        <w:ind w:left="-426" w:right="-619"/>
        <w:rPr>
          <w:sz w:val="22"/>
          <w:szCs w:val="22"/>
        </w:rPr>
      </w:pPr>
    </w:p>
    <w:p w14:paraId="059FD433" w14:textId="77777777" w:rsidR="00125CB2" w:rsidRDefault="00125CB2" w:rsidP="00942DE9">
      <w:pPr>
        <w:ind w:left="-426" w:right="-619"/>
        <w:rPr>
          <w:sz w:val="22"/>
          <w:szCs w:val="22"/>
        </w:rPr>
      </w:pPr>
      <w:r>
        <w:rPr>
          <w:sz w:val="22"/>
          <w:szCs w:val="22"/>
        </w:rPr>
        <w:t>Members wishing to continue using ET are reminded of the recommendations of the Government ‘Banner Committee’ (set up to consider and make recommendations on the use of emerging technologies). It states that ET ‘</w:t>
      </w:r>
      <w:r w:rsidRPr="00483BE0">
        <w:rPr>
          <w:b/>
          <w:bCs/>
          <w:sz w:val="22"/>
          <w:szCs w:val="22"/>
        </w:rPr>
        <w:t>should be restricted to use in disease control or genetic improvement</w:t>
      </w:r>
      <w:r>
        <w:rPr>
          <w:sz w:val="22"/>
          <w:szCs w:val="22"/>
        </w:rPr>
        <w:t xml:space="preserve">’. The Society supports these recommendations and advise that this is prudent when members are considering the use of ET and furthermore, adhere to the Society’s guidelines when made available.  </w:t>
      </w:r>
    </w:p>
    <w:p w14:paraId="5F9C684A" w14:textId="77777777" w:rsidR="00125CB2" w:rsidRPr="00DC702D" w:rsidRDefault="00125CB2" w:rsidP="00942DE9">
      <w:pPr>
        <w:ind w:left="-426" w:right="-619"/>
        <w:rPr>
          <w:sz w:val="22"/>
          <w:szCs w:val="22"/>
        </w:rPr>
      </w:pPr>
    </w:p>
    <w:p w14:paraId="0E59CED4" w14:textId="77777777" w:rsidR="00125CB2" w:rsidRPr="00DC702D" w:rsidRDefault="00125CB2" w:rsidP="00942DE9">
      <w:pPr>
        <w:ind w:left="-426" w:right="-619"/>
        <w:rPr>
          <w:sz w:val="22"/>
          <w:szCs w:val="22"/>
        </w:rPr>
      </w:pPr>
      <w:r w:rsidRPr="00DC702D">
        <w:rPr>
          <w:sz w:val="22"/>
          <w:szCs w:val="22"/>
        </w:rPr>
        <w:t xml:space="preserve">If you have any questions relating to this matter, please email </w:t>
      </w:r>
      <w:hyperlink r:id="rId10" w:history="1">
        <w:r w:rsidRPr="00DC702D">
          <w:rPr>
            <w:rStyle w:val="Hyperlink"/>
            <w:sz w:val="22"/>
            <w:szCs w:val="22"/>
          </w:rPr>
          <w:t>secretary@valaisblacknosesociety.co.uk</w:t>
        </w:r>
      </w:hyperlink>
      <w:r w:rsidRPr="00DC702D">
        <w:rPr>
          <w:sz w:val="22"/>
          <w:szCs w:val="22"/>
        </w:rPr>
        <w:t xml:space="preserve"> </w:t>
      </w:r>
    </w:p>
    <w:p w14:paraId="26605CBB" w14:textId="77777777" w:rsidR="00125CB2" w:rsidRPr="00DC702D" w:rsidRDefault="00125CB2" w:rsidP="00942DE9">
      <w:pPr>
        <w:ind w:left="-426" w:right="-619"/>
        <w:rPr>
          <w:sz w:val="22"/>
          <w:szCs w:val="22"/>
        </w:rPr>
      </w:pPr>
    </w:p>
    <w:p w14:paraId="59D230DF" w14:textId="77777777" w:rsidR="00125CB2" w:rsidRDefault="00125CB2" w:rsidP="00942DE9">
      <w:pPr>
        <w:ind w:left="-426" w:right="-619"/>
        <w:rPr>
          <w:sz w:val="22"/>
          <w:szCs w:val="22"/>
        </w:rPr>
      </w:pPr>
    </w:p>
    <w:p w14:paraId="5A7B3945" w14:textId="77777777" w:rsidR="00942DE9" w:rsidRDefault="00125CB2" w:rsidP="00942DE9">
      <w:pPr>
        <w:ind w:left="-426" w:right="-619"/>
        <w:rPr>
          <w:sz w:val="22"/>
          <w:szCs w:val="22"/>
        </w:rPr>
      </w:pPr>
      <w:r>
        <w:rPr>
          <w:sz w:val="22"/>
          <w:szCs w:val="22"/>
        </w:rPr>
        <w:t xml:space="preserve">Raymond Irvine  </w:t>
      </w:r>
    </w:p>
    <w:p w14:paraId="7EA8EDD2" w14:textId="6A106512" w:rsidR="00125CB2" w:rsidRPr="000E3A3D" w:rsidRDefault="00125CB2" w:rsidP="00942DE9">
      <w:pPr>
        <w:ind w:left="-426" w:right="-619"/>
        <w:rPr>
          <w:i/>
          <w:iCs/>
          <w:sz w:val="22"/>
          <w:szCs w:val="22"/>
        </w:rPr>
      </w:pPr>
      <w:r w:rsidRPr="000E3A3D">
        <w:rPr>
          <w:i/>
          <w:iCs/>
          <w:sz w:val="22"/>
          <w:szCs w:val="22"/>
        </w:rPr>
        <w:t>Chair; on behalf of the VBN Society Council</w:t>
      </w:r>
    </w:p>
    <w:p w14:paraId="7C6F3E8F" w14:textId="77777777" w:rsidR="00942DE9" w:rsidRDefault="00942DE9" w:rsidP="00942DE9">
      <w:pPr>
        <w:ind w:left="-426" w:right="-619"/>
        <w:rPr>
          <w:sz w:val="22"/>
          <w:szCs w:val="22"/>
        </w:rPr>
      </w:pPr>
    </w:p>
    <w:p w14:paraId="27F53A21" w14:textId="77777777" w:rsidR="00942DE9" w:rsidRDefault="00942DE9" w:rsidP="00942DE9">
      <w:pPr>
        <w:ind w:left="-426" w:right="-619"/>
        <w:rPr>
          <w:sz w:val="22"/>
          <w:szCs w:val="22"/>
        </w:rPr>
      </w:pPr>
    </w:p>
    <w:p w14:paraId="417EB519" w14:textId="77777777" w:rsidR="00942DE9" w:rsidRDefault="00942DE9" w:rsidP="00942DE9">
      <w:pPr>
        <w:ind w:left="-426" w:right="-619"/>
        <w:rPr>
          <w:sz w:val="22"/>
          <w:szCs w:val="22"/>
        </w:rPr>
      </w:pPr>
    </w:p>
    <w:p w14:paraId="31B88F9F" w14:textId="77777777" w:rsidR="00125CB2" w:rsidRPr="000E53CB" w:rsidRDefault="00125CB2" w:rsidP="00942DE9">
      <w:pPr>
        <w:ind w:left="-426" w:right="-619"/>
        <w:rPr>
          <w:sz w:val="22"/>
          <w:szCs w:val="22"/>
        </w:rPr>
      </w:pPr>
      <w:r>
        <w:rPr>
          <w:b/>
          <w:bCs/>
        </w:rPr>
        <w:t xml:space="preserve">Appendix 1: </w:t>
      </w:r>
      <w:r w:rsidRPr="00483BE0">
        <w:rPr>
          <w:b/>
          <w:bCs/>
        </w:rPr>
        <w:t>Supporting Information</w:t>
      </w:r>
    </w:p>
    <w:p w14:paraId="106A83D5" w14:textId="77777777" w:rsidR="00125CB2" w:rsidRPr="00DC702D" w:rsidRDefault="00125CB2" w:rsidP="00942DE9">
      <w:pPr>
        <w:ind w:left="-426" w:right="-619"/>
        <w:rPr>
          <w:sz w:val="22"/>
          <w:szCs w:val="22"/>
        </w:rPr>
      </w:pPr>
    </w:p>
    <w:p w14:paraId="61503747" w14:textId="77777777" w:rsidR="00125CB2" w:rsidRDefault="00125CB2" w:rsidP="00942DE9">
      <w:pPr>
        <w:ind w:left="-426" w:right="-619"/>
        <w:rPr>
          <w:b/>
          <w:bCs/>
          <w:sz w:val="22"/>
          <w:szCs w:val="22"/>
        </w:rPr>
      </w:pPr>
    </w:p>
    <w:p w14:paraId="5D6581C6" w14:textId="77777777" w:rsidR="00125CB2" w:rsidRPr="00DC702D" w:rsidRDefault="00125CB2" w:rsidP="00942DE9">
      <w:pPr>
        <w:ind w:left="-426" w:right="-619"/>
        <w:rPr>
          <w:b/>
          <w:bCs/>
          <w:sz w:val="22"/>
          <w:szCs w:val="22"/>
        </w:rPr>
      </w:pPr>
      <w:r w:rsidRPr="00DC702D">
        <w:rPr>
          <w:b/>
          <w:bCs/>
          <w:sz w:val="22"/>
          <w:szCs w:val="22"/>
        </w:rPr>
        <w:t>What is Zootechnics?</w:t>
      </w:r>
    </w:p>
    <w:p w14:paraId="1A3060C0" w14:textId="77777777" w:rsidR="00125CB2" w:rsidRPr="00DC702D" w:rsidRDefault="00125CB2" w:rsidP="00942DE9">
      <w:pPr>
        <w:ind w:left="-426" w:right="-619"/>
        <w:rPr>
          <w:sz w:val="22"/>
          <w:szCs w:val="22"/>
        </w:rPr>
      </w:pPr>
      <w:r w:rsidRPr="00DC702D">
        <w:rPr>
          <w:sz w:val="22"/>
          <w:szCs w:val="22"/>
        </w:rPr>
        <w:t>Zootechnics is the management, and certified regulation, of domestic animals including conditions for trade, handling, breeding, and keeping, based on genetics, reproduction feeding and nutrition, handling, and health.</w:t>
      </w:r>
    </w:p>
    <w:p w14:paraId="4CFC54BB" w14:textId="77777777" w:rsidR="00125CB2" w:rsidRPr="00DC702D" w:rsidRDefault="00125CB2" w:rsidP="00942DE9">
      <w:pPr>
        <w:ind w:left="-426" w:right="-619"/>
        <w:rPr>
          <w:sz w:val="22"/>
          <w:szCs w:val="22"/>
        </w:rPr>
      </w:pPr>
    </w:p>
    <w:p w14:paraId="074B5F81" w14:textId="77777777" w:rsidR="00125CB2" w:rsidRPr="00DC702D" w:rsidRDefault="00125CB2" w:rsidP="00942DE9">
      <w:pPr>
        <w:ind w:left="-426" w:right="-619"/>
        <w:rPr>
          <w:sz w:val="22"/>
          <w:szCs w:val="22"/>
        </w:rPr>
      </w:pPr>
      <w:r w:rsidRPr="00DC702D">
        <w:rPr>
          <w:sz w:val="22"/>
          <w:szCs w:val="22"/>
        </w:rPr>
        <w:t>The EU zootechnical legislation aims are to promote free trade in breeding animals and their genetic material considering the sustainability of specific breeding programs and the preservation of genetic resources within the breed.</w:t>
      </w:r>
    </w:p>
    <w:p w14:paraId="719B9BF8" w14:textId="77777777" w:rsidR="00125CB2" w:rsidRPr="00DC702D" w:rsidRDefault="00125CB2" w:rsidP="00942DE9">
      <w:pPr>
        <w:ind w:left="-426" w:right="-619"/>
        <w:rPr>
          <w:sz w:val="22"/>
          <w:szCs w:val="22"/>
        </w:rPr>
      </w:pPr>
    </w:p>
    <w:p w14:paraId="79BB7D90" w14:textId="77777777" w:rsidR="00125CB2" w:rsidRPr="00DC702D" w:rsidRDefault="00125CB2" w:rsidP="00942DE9">
      <w:pPr>
        <w:ind w:left="-426" w:right="-619"/>
        <w:rPr>
          <w:sz w:val="22"/>
          <w:szCs w:val="22"/>
        </w:rPr>
      </w:pPr>
      <w:r w:rsidRPr="00DC702D">
        <w:rPr>
          <w:sz w:val="22"/>
          <w:szCs w:val="22"/>
        </w:rPr>
        <w:t>A ‘</w:t>
      </w:r>
      <w:proofErr w:type="spellStart"/>
      <w:r w:rsidRPr="00DC702D">
        <w:rPr>
          <w:sz w:val="22"/>
          <w:szCs w:val="22"/>
        </w:rPr>
        <w:t>Zootech</w:t>
      </w:r>
      <w:proofErr w:type="spellEnd"/>
      <w:r w:rsidRPr="00DC702D">
        <w:rPr>
          <w:sz w:val="22"/>
          <w:szCs w:val="22"/>
        </w:rPr>
        <w:t xml:space="preserve">’ certificate therefore serves to verify the registration and genetic information of a breeding animal. It is issued by the Society via Grassroots and must accompany any animal or germinal product that is traded and entered into another breeding book. It is proof that an animal or its germ product is purebred and therefore serves as a warranty or guarantee. </w:t>
      </w:r>
    </w:p>
    <w:p w14:paraId="28CD02E9" w14:textId="77777777" w:rsidR="00125CB2" w:rsidRPr="00DC702D" w:rsidRDefault="00125CB2" w:rsidP="00942DE9">
      <w:pPr>
        <w:ind w:left="-426" w:right="-619"/>
        <w:rPr>
          <w:sz w:val="22"/>
          <w:szCs w:val="22"/>
        </w:rPr>
      </w:pPr>
    </w:p>
    <w:p w14:paraId="5BF57963" w14:textId="77777777" w:rsidR="00125CB2" w:rsidRPr="00DC702D" w:rsidRDefault="00125CB2" w:rsidP="00942DE9">
      <w:pPr>
        <w:ind w:left="-426" w:right="-619"/>
        <w:rPr>
          <w:sz w:val="22"/>
          <w:szCs w:val="22"/>
        </w:rPr>
      </w:pPr>
      <w:r w:rsidRPr="00DC702D">
        <w:rPr>
          <w:b/>
          <w:bCs/>
          <w:sz w:val="22"/>
          <w:szCs w:val="22"/>
        </w:rPr>
        <w:t xml:space="preserve">Why is </w:t>
      </w:r>
      <w:proofErr w:type="spellStart"/>
      <w:r w:rsidRPr="00DC702D">
        <w:rPr>
          <w:b/>
          <w:bCs/>
          <w:sz w:val="22"/>
          <w:szCs w:val="22"/>
        </w:rPr>
        <w:t>Zootech</w:t>
      </w:r>
      <w:proofErr w:type="spellEnd"/>
      <w:r w:rsidRPr="00DC702D">
        <w:rPr>
          <w:b/>
          <w:bCs/>
          <w:sz w:val="22"/>
          <w:szCs w:val="22"/>
        </w:rPr>
        <w:t xml:space="preserve"> status important </w:t>
      </w:r>
      <w:r>
        <w:rPr>
          <w:b/>
          <w:bCs/>
          <w:sz w:val="22"/>
          <w:szCs w:val="22"/>
        </w:rPr>
        <w:t>to the Society and the VBN breed</w:t>
      </w:r>
      <w:r w:rsidRPr="00DC702D">
        <w:rPr>
          <w:b/>
          <w:bCs/>
          <w:sz w:val="22"/>
          <w:szCs w:val="22"/>
        </w:rPr>
        <w:t>?</w:t>
      </w:r>
      <w:r w:rsidRPr="00DC702D">
        <w:rPr>
          <w:sz w:val="22"/>
          <w:szCs w:val="22"/>
        </w:rPr>
        <w:br/>
      </w:r>
      <w:proofErr w:type="spellStart"/>
      <w:r w:rsidRPr="00DC702D">
        <w:rPr>
          <w:sz w:val="22"/>
          <w:szCs w:val="22"/>
        </w:rPr>
        <w:t>Zootech</w:t>
      </w:r>
      <w:proofErr w:type="spellEnd"/>
      <w:r w:rsidRPr="00DC702D">
        <w:rPr>
          <w:sz w:val="22"/>
          <w:szCs w:val="22"/>
        </w:rPr>
        <w:t xml:space="preserve"> certification serves to:</w:t>
      </w:r>
    </w:p>
    <w:p w14:paraId="733EB583" w14:textId="77777777" w:rsidR="00125CB2" w:rsidRPr="00DC702D" w:rsidRDefault="00125CB2" w:rsidP="00942DE9">
      <w:pPr>
        <w:ind w:left="-426" w:right="-619"/>
        <w:rPr>
          <w:sz w:val="22"/>
          <w:szCs w:val="22"/>
        </w:rPr>
      </w:pPr>
    </w:p>
    <w:p w14:paraId="47C647AB" w14:textId="77777777" w:rsidR="00125CB2" w:rsidRPr="00DC702D" w:rsidRDefault="00125CB2" w:rsidP="00942DE9">
      <w:pPr>
        <w:pStyle w:val="ListParagraph"/>
        <w:numPr>
          <w:ilvl w:val="0"/>
          <w:numId w:val="1"/>
        </w:numPr>
        <w:ind w:left="-426" w:right="-619"/>
        <w:rPr>
          <w:rFonts w:ascii="Calibri" w:hAnsi="Calibri" w:cs="Calibri"/>
          <w:sz w:val="22"/>
          <w:szCs w:val="22"/>
        </w:rPr>
      </w:pPr>
      <w:r w:rsidRPr="00DC702D">
        <w:rPr>
          <w:rFonts w:ascii="Calibri" w:hAnsi="Calibri" w:cs="Calibri"/>
          <w:sz w:val="22"/>
          <w:szCs w:val="22"/>
        </w:rPr>
        <w:t xml:space="preserve">uphold official risk-based control via our competent authority of our standards, genetics, equality and health and welfare. </w:t>
      </w:r>
    </w:p>
    <w:p w14:paraId="1CB84650" w14:textId="77777777" w:rsidR="00125CB2" w:rsidRPr="00DC702D" w:rsidRDefault="00125CB2" w:rsidP="00942DE9">
      <w:pPr>
        <w:pStyle w:val="ListParagraph"/>
        <w:numPr>
          <w:ilvl w:val="0"/>
          <w:numId w:val="1"/>
        </w:numPr>
        <w:ind w:left="-426" w:right="-619"/>
        <w:rPr>
          <w:rFonts w:ascii="Calibri" w:hAnsi="Calibri" w:cs="Calibri"/>
          <w:sz w:val="22"/>
          <w:szCs w:val="22"/>
        </w:rPr>
      </w:pPr>
      <w:r w:rsidRPr="00DC702D">
        <w:rPr>
          <w:rFonts w:ascii="Calibri" w:hAnsi="Calibri" w:cs="Calibri"/>
          <w:sz w:val="22"/>
          <w:szCs w:val="22"/>
        </w:rPr>
        <w:t>prevent discrimination, help to maintain a high premium, and certify true and reliable pedigree information in order to promote genetic improvement and advancements.</w:t>
      </w:r>
    </w:p>
    <w:p w14:paraId="646E20B6" w14:textId="77777777" w:rsidR="00125CB2" w:rsidRPr="00DC702D" w:rsidRDefault="00125CB2" w:rsidP="00942DE9">
      <w:pPr>
        <w:pStyle w:val="ListParagraph"/>
        <w:numPr>
          <w:ilvl w:val="0"/>
          <w:numId w:val="1"/>
        </w:numPr>
        <w:ind w:left="-426" w:right="-619"/>
        <w:rPr>
          <w:rFonts w:ascii="Calibri" w:hAnsi="Calibri" w:cs="Calibri"/>
          <w:sz w:val="22"/>
          <w:szCs w:val="22"/>
        </w:rPr>
      </w:pPr>
      <w:r w:rsidRPr="00DC702D">
        <w:rPr>
          <w:rFonts w:ascii="Calibri" w:hAnsi="Calibri" w:cs="Calibri"/>
          <w:sz w:val="22"/>
          <w:szCs w:val="22"/>
        </w:rPr>
        <w:t xml:space="preserve">promote cross border access with EU and some non-EU countries and the exchange of genetics under fair competition conditions to all members. </w:t>
      </w:r>
    </w:p>
    <w:p w14:paraId="6FE9C20D" w14:textId="77777777" w:rsidR="00125CB2" w:rsidRPr="00DC702D" w:rsidRDefault="00125CB2" w:rsidP="00942DE9">
      <w:pPr>
        <w:pStyle w:val="ListParagraph"/>
        <w:numPr>
          <w:ilvl w:val="0"/>
          <w:numId w:val="1"/>
        </w:numPr>
        <w:ind w:left="-426" w:right="-619"/>
        <w:rPr>
          <w:rFonts w:ascii="Calibri" w:hAnsi="Calibri" w:cs="Calibri"/>
          <w:sz w:val="22"/>
          <w:szCs w:val="22"/>
        </w:rPr>
      </w:pPr>
      <w:r w:rsidRPr="00DC702D">
        <w:rPr>
          <w:rFonts w:ascii="Calibri" w:hAnsi="Calibri" w:cs="Calibri"/>
          <w:sz w:val="22"/>
          <w:szCs w:val="22"/>
        </w:rPr>
        <w:t xml:space="preserve">promote free, equal and undiscriminated trade in breeding animals and their germinal products for all members. </w:t>
      </w:r>
    </w:p>
    <w:p w14:paraId="75C6680D" w14:textId="77777777" w:rsidR="00125CB2" w:rsidRPr="00DC702D" w:rsidRDefault="00125CB2" w:rsidP="00942DE9">
      <w:pPr>
        <w:pStyle w:val="ListParagraph"/>
        <w:numPr>
          <w:ilvl w:val="0"/>
          <w:numId w:val="1"/>
        </w:numPr>
        <w:ind w:left="-426" w:right="-619"/>
        <w:rPr>
          <w:rFonts w:ascii="Calibri" w:hAnsi="Calibri" w:cs="Calibri"/>
          <w:sz w:val="22"/>
          <w:szCs w:val="22"/>
        </w:rPr>
      </w:pPr>
      <w:r w:rsidRPr="00DC702D">
        <w:rPr>
          <w:rFonts w:ascii="Calibri" w:hAnsi="Calibri" w:cs="Calibri"/>
          <w:sz w:val="22"/>
          <w:szCs w:val="22"/>
        </w:rPr>
        <w:t xml:space="preserve">include technical advancements and practices whilst all the time, and ultimately, protecting genetic diversity, high quality, and sustainability of the breed. </w:t>
      </w:r>
    </w:p>
    <w:p w14:paraId="5792BA53" w14:textId="77777777" w:rsidR="00125CB2" w:rsidRPr="00DC702D" w:rsidRDefault="00125CB2" w:rsidP="00942DE9">
      <w:pPr>
        <w:pStyle w:val="ListParagraph"/>
        <w:numPr>
          <w:ilvl w:val="0"/>
          <w:numId w:val="1"/>
        </w:numPr>
        <w:ind w:left="-426" w:right="-619"/>
        <w:rPr>
          <w:rFonts w:ascii="Calibri" w:hAnsi="Calibri" w:cs="Calibri"/>
          <w:sz w:val="22"/>
          <w:szCs w:val="22"/>
        </w:rPr>
      </w:pPr>
      <w:r w:rsidRPr="00DC702D">
        <w:rPr>
          <w:rFonts w:ascii="Calibri" w:hAnsi="Calibri" w:cs="Calibri"/>
          <w:sz w:val="22"/>
          <w:szCs w:val="22"/>
        </w:rPr>
        <w:t>maintain confidence in the integrity of the breed and the breed we represent</w:t>
      </w:r>
    </w:p>
    <w:p w14:paraId="48486440" w14:textId="3F20E098" w:rsidR="00F22111" w:rsidRPr="00942DE9" w:rsidRDefault="00125CB2" w:rsidP="00942DE9">
      <w:pPr>
        <w:pStyle w:val="ListParagraph"/>
        <w:numPr>
          <w:ilvl w:val="0"/>
          <w:numId w:val="1"/>
        </w:numPr>
        <w:ind w:left="-426" w:right="-619"/>
        <w:rPr>
          <w:rFonts w:asciiTheme="minorHAnsi" w:hAnsiTheme="minorHAnsi" w:cstheme="minorHAnsi"/>
          <w:sz w:val="22"/>
          <w:szCs w:val="22"/>
        </w:rPr>
      </w:pPr>
      <w:r w:rsidRPr="00DC702D">
        <w:rPr>
          <w:rFonts w:asciiTheme="minorHAnsi" w:hAnsiTheme="minorHAnsi" w:cstheme="minorHAnsi"/>
          <w:sz w:val="22"/>
          <w:szCs w:val="22"/>
        </w:rPr>
        <w:t>ensure the Society is treated respectfully and with high regard by both our competent authority and other breeding nations because all animals and germ product imports must also have ‘</w:t>
      </w:r>
      <w:proofErr w:type="spellStart"/>
      <w:r w:rsidRPr="00DC702D">
        <w:rPr>
          <w:rFonts w:asciiTheme="minorHAnsi" w:hAnsiTheme="minorHAnsi" w:cstheme="minorHAnsi"/>
          <w:sz w:val="22"/>
          <w:szCs w:val="22"/>
        </w:rPr>
        <w:t>Zootech</w:t>
      </w:r>
      <w:proofErr w:type="spellEnd"/>
      <w:r w:rsidRPr="00DC702D">
        <w:rPr>
          <w:rFonts w:asciiTheme="minorHAnsi" w:hAnsiTheme="minorHAnsi" w:cstheme="minorHAnsi"/>
          <w:sz w:val="22"/>
          <w:szCs w:val="22"/>
        </w:rPr>
        <w:t xml:space="preserve">’ status. </w:t>
      </w:r>
    </w:p>
    <w:p w14:paraId="36A8D07A" w14:textId="77777777" w:rsidR="007F7DD8" w:rsidRDefault="007F7DD8" w:rsidP="00942DE9">
      <w:pPr>
        <w:pStyle w:val="v1msonormal"/>
        <w:shd w:val="clear" w:color="auto" w:fill="FFFFFF"/>
        <w:spacing w:before="0" w:beforeAutospacing="0" w:after="0" w:afterAutospacing="0"/>
        <w:ind w:left="-426" w:right="-619"/>
        <w:rPr>
          <w:noProof/>
        </w:rPr>
      </w:pPr>
    </w:p>
    <w:p w14:paraId="501F455A" w14:textId="77777777" w:rsidR="007F7DD8" w:rsidRDefault="007F7DD8" w:rsidP="00942DE9">
      <w:pPr>
        <w:pStyle w:val="v1msonormal"/>
        <w:shd w:val="clear" w:color="auto" w:fill="FFFFFF"/>
        <w:spacing w:before="0" w:beforeAutospacing="0" w:after="0" w:afterAutospacing="0"/>
        <w:ind w:left="-426" w:right="-619"/>
        <w:rPr>
          <w:noProof/>
        </w:rPr>
      </w:pPr>
    </w:p>
    <w:p w14:paraId="55BE26E6" w14:textId="77777777" w:rsidR="007F7DD8" w:rsidRDefault="007F7DD8" w:rsidP="00942DE9">
      <w:pPr>
        <w:pStyle w:val="v1msonormal"/>
        <w:shd w:val="clear" w:color="auto" w:fill="FFFFFF"/>
        <w:spacing w:before="0" w:beforeAutospacing="0" w:after="0" w:afterAutospacing="0"/>
        <w:ind w:left="-426" w:right="-619"/>
        <w:rPr>
          <w:noProof/>
        </w:rPr>
      </w:pPr>
    </w:p>
    <w:p w14:paraId="0FD7556D" w14:textId="77777777" w:rsidR="007F7DD8" w:rsidRDefault="007F7DD8" w:rsidP="00942DE9">
      <w:pPr>
        <w:pStyle w:val="v1msonormal"/>
        <w:shd w:val="clear" w:color="auto" w:fill="FFFFFF"/>
        <w:spacing w:before="0" w:beforeAutospacing="0" w:after="0" w:afterAutospacing="0"/>
        <w:ind w:left="-426" w:right="-619"/>
        <w:rPr>
          <w:noProof/>
        </w:rPr>
      </w:pPr>
    </w:p>
    <w:p w14:paraId="1AF2537D" w14:textId="77777777" w:rsidR="007F7DD8" w:rsidRDefault="007F7DD8" w:rsidP="00942DE9">
      <w:pPr>
        <w:pStyle w:val="v1msonormal"/>
        <w:shd w:val="clear" w:color="auto" w:fill="FFFFFF"/>
        <w:spacing w:before="0" w:beforeAutospacing="0" w:after="0" w:afterAutospacing="0"/>
        <w:ind w:left="-426" w:right="-619"/>
        <w:rPr>
          <w:noProof/>
        </w:rPr>
      </w:pPr>
    </w:p>
    <w:p w14:paraId="1D526D4F" w14:textId="77777777" w:rsidR="007F7DD8" w:rsidRDefault="007F7DD8" w:rsidP="00942DE9">
      <w:pPr>
        <w:pStyle w:val="v1msonormal"/>
        <w:shd w:val="clear" w:color="auto" w:fill="FFFFFF"/>
        <w:spacing w:before="0" w:beforeAutospacing="0" w:after="0" w:afterAutospacing="0"/>
        <w:ind w:left="-426" w:right="-619"/>
        <w:rPr>
          <w:noProof/>
        </w:rPr>
      </w:pPr>
    </w:p>
    <w:p w14:paraId="4F675072" w14:textId="77777777" w:rsidR="007F7DD8" w:rsidRDefault="007F7DD8" w:rsidP="00942DE9">
      <w:pPr>
        <w:pStyle w:val="v1msonormal"/>
        <w:shd w:val="clear" w:color="auto" w:fill="FFFFFF"/>
        <w:spacing w:before="0" w:beforeAutospacing="0" w:after="0" w:afterAutospacing="0"/>
        <w:ind w:left="-426" w:right="-619"/>
        <w:rPr>
          <w:noProof/>
        </w:rPr>
      </w:pPr>
    </w:p>
    <w:p w14:paraId="32A4490C" w14:textId="77777777" w:rsidR="007F7DD8" w:rsidRDefault="007F7DD8" w:rsidP="00942DE9">
      <w:pPr>
        <w:pStyle w:val="v1msonormal"/>
        <w:shd w:val="clear" w:color="auto" w:fill="FFFFFF"/>
        <w:spacing w:before="0" w:beforeAutospacing="0" w:after="0" w:afterAutospacing="0"/>
        <w:ind w:left="-426" w:right="-619"/>
        <w:rPr>
          <w:noProof/>
        </w:rPr>
      </w:pPr>
    </w:p>
    <w:p w14:paraId="1F51DC2F" w14:textId="77777777" w:rsidR="007F7DD8" w:rsidRDefault="007F7DD8" w:rsidP="00942DE9">
      <w:pPr>
        <w:pStyle w:val="v1msonormal"/>
        <w:shd w:val="clear" w:color="auto" w:fill="FFFFFF"/>
        <w:spacing w:before="0" w:beforeAutospacing="0" w:after="0" w:afterAutospacing="0"/>
        <w:ind w:left="-426" w:right="-619"/>
        <w:rPr>
          <w:noProof/>
        </w:rPr>
      </w:pPr>
    </w:p>
    <w:p w14:paraId="0EBD00A6" w14:textId="77777777" w:rsidR="007F7DD8" w:rsidRDefault="007F7DD8" w:rsidP="00942DE9">
      <w:pPr>
        <w:pStyle w:val="v1msonormal"/>
        <w:shd w:val="clear" w:color="auto" w:fill="FFFFFF"/>
        <w:spacing w:before="0" w:beforeAutospacing="0" w:after="0" w:afterAutospacing="0"/>
        <w:ind w:left="-426" w:right="-619"/>
        <w:rPr>
          <w:noProof/>
        </w:rPr>
      </w:pPr>
    </w:p>
    <w:p w14:paraId="2A6C4A46" w14:textId="77777777" w:rsidR="007F7DD8" w:rsidRDefault="007F7DD8" w:rsidP="00942DE9">
      <w:pPr>
        <w:pStyle w:val="v1msonormal"/>
        <w:shd w:val="clear" w:color="auto" w:fill="FFFFFF"/>
        <w:spacing w:before="0" w:beforeAutospacing="0" w:after="0" w:afterAutospacing="0"/>
        <w:ind w:left="-426" w:right="-619"/>
        <w:rPr>
          <w:noProof/>
        </w:rPr>
      </w:pPr>
    </w:p>
    <w:p w14:paraId="5E88FBBE" w14:textId="77777777" w:rsidR="007F7DD8" w:rsidRDefault="007F7DD8" w:rsidP="00942DE9">
      <w:pPr>
        <w:pStyle w:val="v1msonormal"/>
        <w:shd w:val="clear" w:color="auto" w:fill="FFFFFF"/>
        <w:spacing w:before="0" w:beforeAutospacing="0" w:after="0" w:afterAutospacing="0"/>
        <w:ind w:left="-426" w:right="-619"/>
        <w:rPr>
          <w:noProof/>
        </w:rPr>
      </w:pPr>
    </w:p>
    <w:p w14:paraId="3AB492E8" w14:textId="77777777" w:rsidR="007F7DD8" w:rsidRDefault="007F7DD8" w:rsidP="00942DE9">
      <w:pPr>
        <w:pStyle w:val="v1msonormal"/>
        <w:shd w:val="clear" w:color="auto" w:fill="FFFFFF"/>
        <w:spacing w:before="0" w:beforeAutospacing="0" w:after="0" w:afterAutospacing="0"/>
        <w:ind w:left="-426" w:right="-619"/>
        <w:rPr>
          <w:noProof/>
        </w:rPr>
      </w:pPr>
    </w:p>
    <w:p w14:paraId="61FB0396" w14:textId="77777777" w:rsidR="007F7DD8" w:rsidRDefault="007F7DD8" w:rsidP="00942DE9">
      <w:pPr>
        <w:pStyle w:val="v1msonormal"/>
        <w:shd w:val="clear" w:color="auto" w:fill="FFFFFF"/>
        <w:spacing w:before="0" w:beforeAutospacing="0" w:after="0" w:afterAutospacing="0"/>
        <w:ind w:left="-426" w:right="-619"/>
        <w:rPr>
          <w:noProof/>
        </w:rPr>
      </w:pPr>
    </w:p>
    <w:p w14:paraId="369E74E8" w14:textId="77777777" w:rsidR="007F7DD8" w:rsidRDefault="007F7DD8" w:rsidP="00942DE9">
      <w:pPr>
        <w:pStyle w:val="v1msonormal"/>
        <w:shd w:val="clear" w:color="auto" w:fill="FFFFFF"/>
        <w:spacing w:before="0" w:beforeAutospacing="0" w:after="0" w:afterAutospacing="0"/>
        <w:ind w:left="-426" w:right="-619"/>
        <w:rPr>
          <w:noProof/>
        </w:rPr>
      </w:pPr>
    </w:p>
    <w:p w14:paraId="7682F512" w14:textId="77777777" w:rsidR="007F7DD8" w:rsidRDefault="007F7DD8" w:rsidP="00942DE9">
      <w:pPr>
        <w:pStyle w:val="v1msonormal"/>
        <w:shd w:val="clear" w:color="auto" w:fill="FFFFFF"/>
        <w:spacing w:before="0" w:beforeAutospacing="0" w:after="0" w:afterAutospacing="0"/>
        <w:ind w:left="-426" w:right="-619"/>
        <w:rPr>
          <w:noProof/>
        </w:rPr>
      </w:pPr>
    </w:p>
    <w:p w14:paraId="60788518" w14:textId="77F7BFB8" w:rsidR="005A5919" w:rsidRPr="005A5919" w:rsidRDefault="007F7295" w:rsidP="00942DE9">
      <w:pPr>
        <w:pStyle w:val="v1msonormal"/>
        <w:shd w:val="clear" w:color="auto" w:fill="FFFFFF"/>
        <w:spacing w:before="0" w:beforeAutospacing="0" w:after="0" w:afterAutospacing="0"/>
        <w:ind w:left="-426" w:right="-619"/>
        <w:rPr>
          <w:rFonts w:ascii="Calibri" w:hAnsi="Calibri" w:cs="Calibri"/>
          <w:color w:val="333333"/>
        </w:rPr>
      </w:pPr>
      <w:r>
        <w:rPr>
          <w:noProof/>
        </w:rPr>
        <w:drawing>
          <wp:anchor distT="0" distB="0" distL="114300" distR="114300" simplePos="0" relativeHeight="251661312" behindDoc="0" locked="0" layoutInCell="1" allowOverlap="1" wp14:anchorId="0A998EFB" wp14:editId="7F978E9A">
            <wp:simplePos x="0" y="0"/>
            <wp:positionH relativeFrom="column">
              <wp:posOffset>-933450</wp:posOffset>
            </wp:positionH>
            <wp:positionV relativeFrom="paragraph">
              <wp:posOffset>270510</wp:posOffset>
            </wp:positionV>
            <wp:extent cx="7559675" cy="1028065"/>
            <wp:effectExtent l="0" t="0" r="3175" b="635"/>
            <wp:wrapNone/>
            <wp:docPr id="3" name="Picture 3" descr="A black and white image of a black and white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image of a black and white objec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rot="10800000">
                      <a:off x="0" y="0"/>
                      <a:ext cx="7559675" cy="1028065"/>
                    </a:xfrm>
                    <a:prstGeom prst="rect">
                      <a:avLst/>
                    </a:prstGeom>
                  </pic:spPr>
                </pic:pic>
              </a:graphicData>
            </a:graphic>
          </wp:anchor>
        </w:drawing>
      </w:r>
      <w:r w:rsidR="00C659E0" w:rsidRPr="00A724AF">
        <w:rPr>
          <w:rFonts w:ascii="Calibri" w:hAnsi="Calibri" w:cs="Calibri"/>
          <w:color w:val="333333"/>
        </w:rPr>
        <w:t xml:space="preserve"> </w:t>
      </w:r>
    </w:p>
    <w:sectPr w:rsidR="005A5919" w:rsidRPr="005A5919" w:rsidSect="007A3C01">
      <w:pgSz w:w="11900" w:h="16840" w:code="9"/>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AE5606" w14:textId="77777777" w:rsidR="007A3C01" w:rsidRDefault="007A3C01" w:rsidP="003D150D">
      <w:r>
        <w:separator/>
      </w:r>
    </w:p>
  </w:endnote>
  <w:endnote w:type="continuationSeparator" w:id="0">
    <w:p w14:paraId="58EC02FF" w14:textId="77777777" w:rsidR="007A3C01" w:rsidRDefault="007A3C01" w:rsidP="003D150D">
      <w:r>
        <w:continuationSeparator/>
      </w:r>
    </w:p>
  </w:endnote>
  <w:endnote w:type="continuationNotice" w:id="1">
    <w:p w14:paraId="20FB37A7" w14:textId="77777777" w:rsidR="007A3C01" w:rsidRDefault="007A3C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756AF0" w14:textId="77777777" w:rsidR="007A3C01" w:rsidRDefault="007A3C01" w:rsidP="003D150D">
      <w:r>
        <w:separator/>
      </w:r>
    </w:p>
  </w:footnote>
  <w:footnote w:type="continuationSeparator" w:id="0">
    <w:p w14:paraId="42DA0757" w14:textId="77777777" w:rsidR="007A3C01" w:rsidRDefault="007A3C01" w:rsidP="003D150D">
      <w:r>
        <w:continuationSeparator/>
      </w:r>
    </w:p>
  </w:footnote>
  <w:footnote w:type="continuationNotice" w:id="1">
    <w:p w14:paraId="7991B193" w14:textId="77777777" w:rsidR="007A3C01" w:rsidRDefault="007A3C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3342F4"/>
    <w:multiLevelType w:val="hybridMultilevel"/>
    <w:tmpl w:val="BC04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7E0BBC"/>
    <w:multiLevelType w:val="hybridMultilevel"/>
    <w:tmpl w:val="D0BC4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884055">
    <w:abstractNumId w:val="1"/>
  </w:num>
  <w:num w:numId="2" w16cid:durableId="1751808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D0"/>
    <w:rsid w:val="00012ADA"/>
    <w:rsid w:val="00080A37"/>
    <w:rsid w:val="000B73E9"/>
    <w:rsid w:val="000D591D"/>
    <w:rsid w:val="000E276E"/>
    <w:rsid w:val="000E3A3D"/>
    <w:rsid w:val="0011611C"/>
    <w:rsid w:val="00125CB2"/>
    <w:rsid w:val="00144CBB"/>
    <w:rsid w:val="001815D2"/>
    <w:rsid w:val="00197E12"/>
    <w:rsid w:val="001B776A"/>
    <w:rsid w:val="001C10EA"/>
    <w:rsid w:val="001C29DA"/>
    <w:rsid w:val="001C42F1"/>
    <w:rsid w:val="001C446E"/>
    <w:rsid w:val="001D1EA4"/>
    <w:rsid w:val="001E5462"/>
    <w:rsid w:val="002A3450"/>
    <w:rsid w:val="00334FB7"/>
    <w:rsid w:val="00356265"/>
    <w:rsid w:val="003853F6"/>
    <w:rsid w:val="003B14BE"/>
    <w:rsid w:val="003C4830"/>
    <w:rsid w:val="003D150D"/>
    <w:rsid w:val="003D1990"/>
    <w:rsid w:val="003D4CD7"/>
    <w:rsid w:val="00405D7D"/>
    <w:rsid w:val="004759E2"/>
    <w:rsid w:val="004A297A"/>
    <w:rsid w:val="00507E73"/>
    <w:rsid w:val="0054741B"/>
    <w:rsid w:val="005861A1"/>
    <w:rsid w:val="0059229F"/>
    <w:rsid w:val="005A5919"/>
    <w:rsid w:val="005D6EEE"/>
    <w:rsid w:val="005F480E"/>
    <w:rsid w:val="00603111"/>
    <w:rsid w:val="00604708"/>
    <w:rsid w:val="006515D4"/>
    <w:rsid w:val="00652BE3"/>
    <w:rsid w:val="00661899"/>
    <w:rsid w:val="0069242B"/>
    <w:rsid w:val="006B378F"/>
    <w:rsid w:val="006C47D5"/>
    <w:rsid w:val="006D64C4"/>
    <w:rsid w:val="007000D0"/>
    <w:rsid w:val="007A1D5B"/>
    <w:rsid w:val="007A3C01"/>
    <w:rsid w:val="007D6DFE"/>
    <w:rsid w:val="007E03CC"/>
    <w:rsid w:val="007F65A0"/>
    <w:rsid w:val="007F7295"/>
    <w:rsid w:val="007F7DD8"/>
    <w:rsid w:val="0085781C"/>
    <w:rsid w:val="008647F4"/>
    <w:rsid w:val="00875426"/>
    <w:rsid w:val="00884D6A"/>
    <w:rsid w:val="008929C4"/>
    <w:rsid w:val="008C143B"/>
    <w:rsid w:val="008C4ABB"/>
    <w:rsid w:val="00931036"/>
    <w:rsid w:val="00935A4D"/>
    <w:rsid w:val="00942DE9"/>
    <w:rsid w:val="009B713F"/>
    <w:rsid w:val="009C6157"/>
    <w:rsid w:val="009C7B49"/>
    <w:rsid w:val="009D3160"/>
    <w:rsid w:val="00A20E4C"/>
    <w:rsid w:val="00A724AF"/>
    <w:rsid w:val="00B17BA9"/>
    <w:rsid w:val="00B42B22"/>
    <w:rsid w:val="00B60BB0"/>
    <w:rsid w:val="00B725B8"/>
    <w:rsid w:val="00B86858"/>
    <w:rsid w:val="00BF1B8E"/>
    <w:rsid w:val="00C53B33"/>
    <w:rsid w:val="00C659E0"/>
    <w:rsid w:val="00CA6FE3"/>
    <w:rsid w:val="00D0362D"/>
    <w:rsid w:val="00D06439"/>
    <w:rsid w:val="00D35178"/>
    <w:rsid w:val="00D56B0C"/>
    <w:rsid w:val="00D86029"/>
    <w:rsid w:val="00DB79F5"/>
    <w:rsid w:val="00DD7334"/>
    <w:rsid w:val="00E02DF1"/>
    <w:rsid w:val="00E47659"/>
    <w:rsid w:val="00E950D6"/>
    <w:rsid w:val="00EA7701"/>
    <w:rsid w:val="00ED20FB"/>
    <w:rsid w:val="00F03A2A"/>
    <w:rsid w:val="00F03C98"/>
    <w:rsid w:val="00F22111"/>
    <w:rsid w:val="00F473E4"/>
    <w:rsid w:val="00F76AAD"/>
    <w:rsid w:val="00F95826"/>
    <w:rsid w:val="00FA39BE"/>
    <w:rsid w:val="00FA6020"/>
    <w:rsid w:val="00FA7D89"/>
    <w:rsid w:val="00FC1FE1"/>
    <w:rsid w:val="00FC5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E282F"/>
  <w15:chartTrackingRefBased/>
  <w15:docId w15:val="{A8F137B1-8265-4990-8DE7-72F0073C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50D"/>
    <w:pPr>
      <w:tabs>
        <w:tab w:val="center" w:pos="4513"/>
        <w:tab w:val="right" w:pos="9026"/>
      </w:tabs>
    </w:pPr>
  </w:style>
  <w:style w:type="character" w:customStyle="1" w:styleId="HeaderChar">
    <w:name w:val="Header Char"/>
    <w:basedOn w:val="DefaultParagraphFont"/>
    <w:link w:val="Header"/>
    <w:uiPriority w:val="99"/>
    <w:rsid w:val="003D150D"/>
  </w:style>
  <w:style w:type="paragraph" w:styleId="Footer">
    <w:name w:val="footer"/>
    <w:basedOn w:val="Normal"/>
    <w:link w:val="FooterChar"/>
    <w:uiPriority w:val="99"/>
    <w:unhideWhenUsed/>
    <w:rsid w:val="003D150D"/>
    <w:pPr>
      <w:tabs>
        <w:tab w:val="center" w:pos="4513"/>
        <w:tab w:val="right" w:pos="9026"/>
      </w:tabs>
    </w:pPr>
  </w:style>
  <w:style w:type="character" w:customStyle="1" w:styleId="FooterChar">
    <w:name w:val="Footer Char"/>
    <w:basedOn w:val="DefaultParagraphFont"/>
    <w:link w:val="Footer"/>
    <w:uiPriority w:val="99"/>
    <w:rsid w:val="003D150D"/>
  </w:style>
  <w:style w:type="table" w:styleId="TableGrid">
    <w:name w:val="Table Grid"/>
    <w:basedOn w:val="TableNormal"/>
    <w:uiPriority w:val="39"/>
    <w:rsid w:val="009C7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
    <w:rsid w:val="00F2211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F22111"/>
    <w:rPr>
      <w:color w:val="0000FF"/>
      <w:u w:val="single"/>
    </w:rPr>
  </w:style>
  <w:style w:type="paragraph" w:styleId="ListParagraph">
    <w:name w:val="List Paragraph"/>
    <w:basedOn w:val="Normal"/>
    <w:uiPriority w:val="34"/>
    <w:qFormat/>
    <w:rsid w:val="00125CB2"/>
    <w:pPr>
      <w:suppressAutoHyphens/>
      <w:ind w:left="720"/>
    </w:pPr>
    <w:rPr>
      <w:rFonts w:ascii="Liberation Serif" w:eastAsia="NSimSun" w:hAnsi="Liberation Serif" w:cs="Mangal"/>
      <w:kern w:val="2"/>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036544">
      <w:bodyDiv w:val="1"/>
      <w:marLeft w:val="0"/>
      <w:marRight w:val="0"/>
      <w:marTop w:val="0"/>
      <w:marBottom w:val="0"/>
      <w:divBdr>
        <w:top w:val="none" w:sz="0" w:space="0" w:color="auto"/>
        <w:left w:val="none" w:sz="0" w:space="0" w:color="auto"/>
        <w:bottom w:val="none" w:sz="0" w:space="0" w:color="auto"/>
        <w:right w:val="none" w:sz="0" w:space="0" w:color="auto"/>
      </w:divBdr>
      <w:divsChild>
        <w:div w:id="1661889698">
          <w:marLeft w:val="0"/>
          <w:marRight w:val="0"/>
          <w:marTop w:val="0"/>
          <w:marBottom w:val="0"/>
          <w:divBdr>
            <w:top w:val="single" w:sz="8" w:space="3" w:color="E1E1E1"/>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secretary@valaisblacknosesociety.co.uk" TargetMode="Externa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wnloads\VBS%20letterhead%20p1%20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8D59F-22BA-4C97-BA49-B8752828D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VBS letterhead p1 TEMP</Template>
  <TotalTime>0</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VBSSUK Valais Blacknose Sheep Society UK</dc:creator>
  <cp:keywords/>
  <dc:description/>
  <cp:lastModifiedBy>Valais Blacknose Society</cp:lastModifiedBy>
  <cp:revision>2</cp:revision>
  <cp:lastPrinted>2024-04-02T15:52:00Z</cp:lastPrinted>
  <dcterms:created xsi:type="dcterms:W3CDTF">2024-04-04T09:49:00Z</dcterms:created>
  <dcterms:modified xsi:type="dcterms:W3CDTF">2024-04-04T09:49:00Z</dcterms:modified>
</cp:coreProperties>
</file>